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DF85C"/>
    <w:p w14:paraId="6926332D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F178154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AE28D0E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7F0C7DA6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6F2ABED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伊犁州特克斯县2023年农村公路建设</w:t>
      </w:r>
    </w:p>
    <w:p w14:paraId="0B633FA0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项目支出绩效评价报告</w:t>
      </w:r>
    </w:p>
    <w:p w14:paraId="7751C187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DBDF859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年度）</w:t>
      </w:r>
    </w:p>
    <w:p w14:paraId="2F50BF43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0F81735E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48AF9AB0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2D623197">
      <w:pPr>
        <w:spacing w:line="540" w:lineRule="exact"/>
        <w:jc w:val="both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39951CAE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5ED914F4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项目名称：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伊犁州特克斯县2023年农村公路建设项目</w:t>
      </w:r>
    </w:p>
    <w:p w14:paraId="6B055E20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实施单位（公章）：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特克斯县交通运输局</w:t>
      </w:r>
    </w:p>
    <w:p w14:paraId="74CC4512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主管部门（公章）：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特克斯县交通运输局</w:t>
      </w:r>
    </w:p>
    <w:p w14:paraId="796B9C75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库尔曼艾力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·巴拉汗</w:t>
      </w:r>
    </w:p>
    <w:p w14:paraId="0957FD98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</w:p>
    <w:p w14:paraId="39F6CD75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70B0251C">
      <w:pPr>
        <w:spacing w:line="540" w:lineRule="exact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727C0BC8">
      <w:pPr>
        <w:spacing w:line="540" w:lineRule="exact"/>
        <w:ind w:firstLine="640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35BFC900">
      <w:pPr>
        <w:spacing w:line="560" w:lineRule="exact"/>
        <w:rPr>
          <w:rFonts w:hint="default" w:ascii="Times New Roman" w:hAnsi="Times New Roman" w:eastAsia="黑体" w:cs="Times New Roman"/>
          <w:bCs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41B8BA86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34165F39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1845B1CB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4D08A3E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24" w:firstLineChars="200"/>
        <w:jc w:val="both"/>
        <w:textAlignment w:val="auto"/>
        <w:rPr>
          <w:rStyle w:val="15"/>
          <w:rFonts w:hint="eastAsia" w:ascii="方正仿宋_GB2312" w:hAnsi="方正仿宋_GB2312" w:eastAsia="方正仿宋_GB2312" w:cs="方正仿宋_GB2312"/>
          <w:b w:val="0"/>
          <w:bCs/>
          <w:color w:val="auto"/>
          <w:spacing w:val="-4"/>
          <w:sz w:val="32"/>
          <w:szCs w:val="32"/>
          <w:highlight w:val="none"/>
        </w:rPr>
      </w:pPr>
      <w:r>
        <w:rPr>
          <w:rStyle w:val="15"/>
          <w:rFonts w:hint="eastAsia" w:ascii="方正仿宋_GB2312" w:hAnsi="方正仿宋_GB2312" w:eastAsia="方正仿宋_GB2312" w:cs="方正仿宋_GB2312"/>
          <w:b w:val="0"/>
          <w:bCs/>
          <w:color w:val="auto"/>
          <w:spacing w:val="-4"/>
          <w:sz w:val="32"/>
          <w:szCs w:val="32"/>
          <w:highlight w:val="none"/>
        </w:rPr>
        <w:t>随着特克斯经济一体化进程加速和市场经济的发展，产业布局、运输方式和运输结构发生了变化，从特克斯交通运输现状分析，特别从公路发展现状看，公路运输比重日益增大，道路服务于经济发展的地位和作用日渐显著。随着特克斯经济的增长、产业布局的调整、工业化进程的加快、城镇化进程的提速、对外开放水平逐步提高，综合实力的增强，产业结构进一步优化升级，城乡面貌发生重大变化，城镇人口的大幅度增加，人民生活水平明显改善。国民经济的发展对交通设施建设提出了更高的要求。国道</w:t>
      </w:r>
      <w:r>
        <w:rPr>
          <w:rStyle w:val="15"/>
          <w:rFonts w:hint="default" w:ascii="Times New Roman" w:hAnsi="Times New Roman" w:eastAsia="方正仿宋_GB2312" w:cs="Times New Roman"/>
          <w:b w:val="0"/>
          <w:bCs/>
          <w:color w:val="auto"/>
          <w:spacing w:val="-4"/>
          <w:sz w:val="32"/>
          <w:szCs w:val="32"/>
          <w:highlight w:val="none"/>
        </w:rPr>
        <w:t>57</w:t>
      </w:r>
      <w:r>
        <w:rPr>
          <w:rStyle w:val="15"/>
          <w:rFonts w:hint="eastAsia" w:ascii="Times New Roman" w:hAnsi="Times New Roman" w:eastAsia="方正仿宋_GB2312" w:cs="Times New Roman"/>
          <w:b w:val="0"/>
          <w:bCs/>
          <w:color w:val="auto"/>
          <w:spacing w:val="-4"/>
          <w:sz w:val="32"/>
          <w:szCs w:val="32"/>
          <w:highlight w:val="none"/>
          <w:lang w:val="en-US" w:eastAsia="zh-CN"/>
        </w:rPr>
        <w:t>7</w:t>
      </w:r>
      <w:r>
        <w:rPr>
          <w:rStyle w:val="15"/>
          <w:rFonts w:hint="eastAsia" w:ascii="方正仿宋_GB2312" w:hAnsi="方正仿宋_GB2312" w:eastAsia="方正仿宋_GB2312" w:cs="方正仿宋_GB2312"/>
          <w:b w:val="0"/>
          <w:bCs/>
          <w:color w:val="auto"/>
          <w:spacing w:val="-4"/>
          <w:sz w:val="32"/>
          <w:szCs w:val="32"/>
          <w:highlight w:val="none"/>
        </w:rPr>
        <w:t>线贯穿特克斯县县域东西全境，向东经特克斯达阪、伊犁河雅马渡大桥可抵达巩留、新源、伊宁市及附近的其他各县、兵团团场与霍尔果斯口岸，向西可至相邻的昭苏县，和国家一类开放口岸—木扎尔特口岸（对哈萨克斯坦共和国），是沟通县里与外界经济交流的唯一一条干线公路。以国道</w:t>
      </w:r>
      <w:r>
        <w:rPr>
          <w:rStyle w:val="15"/>
          <w:rFonts w:hint="default" w:ascii="Times New Roman" w:hAnsi="Times New Roman" w:eastAsia="方正仿宋_GB2312" w:cs="Times New Roman"/>
          <w:b w:val="0"/>
          <w:bCs/>
          <w:color w:val="auto"/>
          <w:spacing w:val="-4"/>
          <w:sz w:val="32"/>
          <w:szCs w:val="32"/>
          <w:highlight w:val="none"/>
        </w:rPr>
        <w:t>577</w:t>
      </w:r>
      <w:r>
        <w:rPr>
          <w:rStyle w:val="15"/>
          <w:rFonts w:hint="eastAsia" w:ascii="方正仿宋_GB2312" w:hAnsi="方正仿宋_GB2312" w:eastAsia="方正仿宋_GB2312" w:cs="方正仿宋_GB2312"/>
          <w:b w:val="0"/>
          <w:bCs/>
          <w:color w:val="auto"/>
          <w:spacing w:val="-4"/>
          <w:sz w:val="32"/>
          <w:szCs w:val="32"/>
          <w:highlight w:val="none"/>
        </w:rPr>
        <w:t>线、县道</w:t>
      </w:r>
      <w:r>
        <w:rPr>
          <w:rStyle w:val="15"/>
          <w:rFonts w:hint="default" w:ascii="Times New Roman" w:hAnsi="Times New Roman" w:eastAsia="方正仿宋_GB2312" w:cs="Times New Roman"/>
          <w:b w:val="0"/>
          <w:bCs/>
          <w:color w:val="auto"/>
          <w:spacing w:val="-4"/>
          <w:sz w:val="32"/>
          <w:szCs w:val="32"/>
          <w:highlight w:val="none"/>
        </w:rPr>
        <w:t>765</w:t>
      </w:r>
      <w:r>
        <w:rPr>
          <w:rStyle w:val="15"/>
          <w:rFonts w:hint="eastAsia" w:ascii="方正仿宋_GB2312" w:hAnsi="方正仿宋_GB2312" w:eastAsia="方正仿宋_GB2312" w:cs="方正仿宋_GB2312"/>
          <w:b w:val="0"/>
          <w:bCs/>
          <w:color w:val="auto"/>
          <w:spacing w:val="-4"/>
          <w:sz w:val="32"/>
          <w:szCs w:val="32"/>
          <w:highlight w:val="none"/>
        </w:rPr>
        <w:t>线、县道</w:t>
      </w:r>
      <w:r>
        <w:rPr>
          <w:rStyle w:val="15"/>
          <w:rFonts w:hint="default" w:ascii="Times New Roman" w:hAnsi="Times New Roman" w:eastAsia="方正仿宋_GB2312" w:cs="Times New Roman"/>
          <w:b w:val="0"/>
          <w:bCs/>
          <w:color w:val="auto"/>
          <w:spacing w:val="-4"/>
          <w:sz w:val="32"/>
          <w:szCs w:val="32"/>
          <w:highlight w:val="none"/>
        </w:rPr>
        <w:t>766</w:t>
      </w:r>
      <w:r>
        <w:rPr>
          <w:rStyle w:val="15"/>
          <w:rFonts w:hint="eastAsia" w:ascii="方正仿宋_GB2312" w:hAnsi="方正仿宋_GB2312" w:eastAsia="方正仿宋_GB2312" w:cs="方正仿宋_GB2312"/>
          <w:b w:val="0"/>
          <w:bCs/>
          <w:color w:val="auto"/>
          <w:spacing w:val="-4"/>
          <w:sz w:val="32"/>
          <w:szCs w:val="32"/>
          <w:highlight w:val="none"/>
        </w:rPr>
        <w:t>线、县道</w:t>
      </w:r>
      <w:r>
        <w:rPr>
          <w:rStyle w:val="15"/>
          <w:rFonts w:hint="default" w:ascii="Times New Roman" w:hAnsi="Times New Roman" w:eastAsia="方正仿宋_GB2312" w:cs="Times New Roman"/>
          <w:b w:val="0"/>
          <w:bCs/>
          <w:color w:val="auto"/>
          <w:spacing w:val="-4"/>
          <w:sz w:val="32"/>
          <w:szCs w:val="32"/>
          <w:highlight w:val="none"/>
        </w:rPr>
        <w:t>767</w:t>
      </w:r>
      <w:r>
        <w:rPr>
          <w:rStyle w:val="15"/>
          <w:rFonts w:hint="eastAsia" w:ascii="方正仿宋_GB2312" w:hAnsi="方正仿宋_GB2312" w:eastAsia="方正仿宋_GB2312" w:cs="方正仿宋_GB2312"/>
          <w:b w:val="0"/>
          <w:bCs/>
          <w:color w:val="auto"/>
          <w:spacing w:val="-4"/>
          <w:sz w:val="32"/>
          <w:szCs w:val="32"/>
          <w:highlight w:val="none"/>
        </w:rPr>
        <w:t>线、县道</w:t>
      </w:r>
      <w:r>
        <w:rPr>
          <w:rStyle w:val="15"/>
          <w:rFonts w:hint="default" w:ascii="Times New Roman" w:hAnsi="Times New Roman" w:eastAsia="方正仿宋_GB2312" w:cs="Times New Roman"/>
          <w:b w:val="0"/>
          <w:bCs/>
          <w:color w:val="auto"/>
          <w:spacing w:val="-4"/>
          <w:sz w:val="32"/>
          <w:szCs w:val="32"/>
          <w:highlight w:val="none"/>
        </w:rPr>
        <w:t>768</w:t>
      </w:r>
      <w:r>
        <w:rPr>
          <w:rStyle w:val="15"/>
          <w:rFonts w:hint="eastAsia" w:ascii="方正仿宋_GB2312" w:hAnsi="方正仿宋_GB2312" w:eastAsia="方正仿宋_GB2312" w:cs="方正仿宋_GB2312"/>
          <w:b w:val="0"/>
          <w:bCs/>
          <w:color w:val="auto"/>
          <w:spacing w:val="-4"/>
          <w:sz w:val="32"/>
          <w:szCs w:val="32"/>
          <w:highlight w:val="none"/>
        </w:rPr>
        <w:t>线、</w:t>
      </w:r>
      <w:r>
        <w:rPr>
          <w:rStyle w:val="15"/>
          <w:rFonts w:hint="eastAsia" w:ascii="Times New Roman" w:hAnsi="Times New Roman" w:eastAsia="方正仿宋_GB2312" w:cs="Times New Roman"/>
          <w:b w:val="0"/>
          <w:bCs/>
          <w:color w:val="auto"/>
          <w:spacing w:val="-4"/>
          <w:sz w:val="32"/>
          <w:szCs w:val="32"/>
          <w:highlight w:val="none"/>
          <w:lang w:val="en-US" w:eastAsia="zh-CN"/>
        </w:rPr>
        <w:t>乡道</w:t>
      </w:r>
      <w:r>
        <w:rPr>
          <w:rStyle w:val="15"/>
          <w:rFonts w:hint="default" w:ascii="Times New Roman" w:hAnsi="Times New Roman" w:eastAsia="方正仿宋_GB2312" w:cs="Times New Roman"/>
          <w:b w:val="0"/>
          <w:bCs/>
          <w:color w:val="auto"/>
          <w:spacing w:val="-4"/>
          <w:sz w:val="32"/>
          <w:szCs w:val="32"/>
          <w:highlight w:val="none"/>
        </w:rPr>
        <w:t>008</w:t>
      </w:r>
      <w:r>
        <w:rPr>
          <w:rStyle w:val="15"/>
          <w:rFonts w:hint="eastAsia" w:ascii="方正仿宋_GB2312" w:hAnsi="方正仿宋_GB2312" w:eastAsia="方正仿宋_GB2312" w:cs="方正仿宋_GB2312"/>
          <w:b w:val="0"/>
          <w:bCs/>
          <w:color w:val="auto"/>
          <w:spacing w:val="-4"/>
          <w:sz w:val="32"/>
          <w:szCs w:val="32"/>
          <w:highlight w:val="none"/>
        </w:rPr>
        <w:t>线等构成县境内的公路网骨架结构。</w:t>
      </w:r>
    </w:p>
    <w:p w14:paraId="11508E1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24" w:firstLineChars="200"/>
        <w:jc w:val="both"/>
        <w:textAlignment w:val="auto"/>
        <w:rPr>
          <w:rStyle w:val="15"/>
          <w:rFonts w:hint="default" w:ascii="Times New Roman" w:hAnsi="Times New Roman" w:eastAsia="黑体" w:cs="Times New Roman"/>
          <w:b w:val="0"/>
          <w:bCs/>
          <w:spacing w:val="-4"/>
          <w:sz w:val="32"/>
          <w:szCs w:val="32"/>
          <w:highlight w:val="yellow"/>
          <w:lang w:eastAsia="zh-CN"/>
        </w:rPr>
      </w:pPr>
      <w:r>
        <w:rPr>
          <w:rStyle w:val="15"/>
          <w:rFonts w:hint="eastAsia" w:ascii="方正仿宋_GB2312" w:hAnsi="方正仿宋_GB2312" w:eastAsia="方正仿宋_GB2312" w:cs="方正仿宋_GB2312"/>
          <w:b w:val="0"/>
          <w:bCs/>
          <w:color w:val="auto"/>
          <w:spacing w:val="-4"/>
          <w:sz w:val="32"/>
          <w:szCs w:val="32"/>
          <w:highlight w:val="none"/>
        </w:rPr>
        <w:t>随着经济建设和社会的不断发展，区域公路网逐步形成。国道</w:t>
      </w:r>
      <w:r>
        <w:rPr>
          <w:rStyle w:val="15"/>
          <w:rFonts w:hint="default" w:ascii="Times New Roman" w:hAnsi="Times New Roman" w:eastAsia="方正仿宋_GB2312" w:cs="Times New Roman"/>
          <w:b w:val="0"/>
          <w:bCs/>
          <w:color w:val="auto"/>
          <w:spacing w:val="-4"/>
          <w:sz w:val="32"/>
          <w:szCs w:val="32"/>
          <w:highlight w:val="none"/>
        </w:rPr>
        <w:t>577</w:t>
      </w:r>
      <w:r>
        <w:rPr>
          <w:rStyle w:val="15"/>
          <w:rFonts w:hint="eastAsia" w:ascii="方正仿宋_GB2312" w:hAnsi="方正仿宋_GB2312" w:eastAsia="方正仿宋_GB2312" w:cs="方正仿宋_GB2312"/>
          <w:b w:val="0"/>
          <w:bCs/>
          <w:color w:val="auto"/>
          <w:spacing w:val="-4"/>
          <w:sz w:val="32"/>
          <w:szCs w:val="32"/>
          <w:highlight w:val="none"/>
        </w:rPr>
        <w:t>线是区域公路网的骨架，拟建项目是对区域路网的完善和补充，是成为特克斯县公路网络的重要组成部分。拟建项目沿线均为村镇，对促进特克斯县经济加速发展，带动工业、农业、畜牧业等发展有重大意义。</w:t>
      </w:r>
    </w:p>
    <w:p w14:paraId="46FA664A">
      <w:pPr>
        <w:pStyle w:val="2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4E45E8D1">
      <w:pPr>
        <w:spacing w:line="560" w:lineRule="exact"/>
        <w:ind w:firstLine="600" w:firstLineChars="200"/>
        <w:rPr>
          <w:rFonts w:hint="default" w:ascii="Times New Roman" w:hAnsi="Times New Roman" w:eastAsia="黑体" w:cs="Times New Roman"/>
          <w:highlight w:val="yellow"/>
          <w:lang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项目主要内容：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完成伊犁州特克斯县202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年农村公路建设项目，全长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24.84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公里，按照四级公路标准建设，建设内容包括路基路面桥涵及交通安全设施工程。</w:t>
      </w:r>
    </w:p>
    <w:p w14:paraId="04DD7915"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年实施了农村公路建设项目，全长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24.84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公里，按照四级公路标准建设，建设内容包括路基路面桥涵及交通安全设施工程。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但由于气候原因，当年未交工验收。</w:t>
      </w:r>
    </w:p>
    <w:p w14:paraId="5807E2A0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19DD8F0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0024FF1B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490.56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490.56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财政拨款。</w:t>
      </w:r>
    </w:p>
    <w:p w14:paraId="74E4A89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27F34DDA">
      <w:pPr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490.56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490.56万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全年执行数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490.56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伊犁州特克斯县202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年农村公路建设项目，全长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24.84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公里，平均每公里造价成本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19.75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万元，项目总成本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490.56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万元。</w:t>
      </w:r>
    </w:p>
    <w:p w14:paraId="274203E8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49906CA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27A5907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完成伊犁州特克斯县202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年农村公路建设项目，全长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24.84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公里，按照四级公路标准建设，建设内容包括路基路面桥涵及交通安全设施工程。</w:t>
      </w:r>
    </w:p>
    <w:p w14:paraId="2AB47EC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FF000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阶段性目标</w:t>
      </w:r>
    </w:p>
    <w:p w14:paraId="18D3DFAF">
      <w:pPr>
        <w:spacing w:line="560" w:lineRule="exact"/>
        <w:ind w:firstLine="624" w:firstLineChars="200"/>
        <w:rPr>
          <w:rFonts w:hint="default" w:ascii="Times New Roman" w:hAnsi="Times New Roman" w:eastAsia="黑体" w:cs="Times New Roman"/>
          <w:b w:val="0"/>
          <w:bCs/>
          <w:lang w:eastAsia="zh-CN"/>
        </w:rPr>
      </w:pPr>
      <w:r>
        <w:rPr>
          <w:rStyle w:val="15"/>
          <w:rFonts w:hint="eastAsia" w:ascii="方正仿宋_GB2312" w:hAnsi="方正仿宋_GB2312" w:eastAsia="方正仿宋_GB2312" w:cs="方正仿宋_GB2312"/>
          <w:b w:val="0"/>
          <w:spacing w:val="-4"/>
          <w:sz w:val="32"/>
          <w:szCs w:val="32"/>
          <w:highlight w:val="none"/>
          <w:lang w:val="en-US" w:eastAsia="zh-CN"/>
        </w:rPr>
        <w:t>第二季度末</w:t>
      </w:r>
      <w:r>
        <w:rPr>
          <w:rStyle w:val="15"/>
          <w:rFonts w:hint="eastAsia" w:ascii="方正仿宋_GB2312" w:hAnsi="方正仿宋_GB2312" w:eastAsia="方正仿宋_GB2312" w:cs="方正仿宋_GB2312"/>
          <w:b w:val="0"/>
          <w:spacing w:val="-4"/>
          <w:sz w:val="32"/>
          <w:szCs w:val="32"/>
          <w:highlight w:val="none"/>
        </w:rPr>
        <w:t>开工后，首先实施路基施工，包括路基开挖、填方、夯实等这个阶段的质量将直接影响公路的使用寿命和安全性；</w:t>
      </w:r>
      <w:r>
        <w:rPr>
          <w:rStyle w:val="15"/>
          <w:rFonts w:hint="eastAsia" w:ascii="方正仿宋_GB2312" w:hAnsi="方正仿宋_GB2312" w:eastAsia="方正仿宋_GB2312" w:cs="方正仿宋_GB2312"/>
          <w:b w:val="0"/>
          <w:spacing w:val="-4"/>
          <w:sz w:val="32"/>
          <w:szCs w:val="32"/>
          <w:highlight w:val="none"/>
          <w:lang w:val="en-US" w:eastAsia="zh-CN"/>
        </w:rPr>
        <w:t>第三季度</w:t>
      </w:r>
      <w:r>
        <w:rPr>
          <w:rStyle w:val="15"/>
          <w:rFonts w:hint="eastAsia" w:ascii="方正仿宋_GB2312" w:hAnsi="方正仿宋_GB2312" w:eastAsia="方正仿宋_GB2312" w:cs="方正仿宋_GB2312"/>
          <w:b w:val="0"/>
          <w:spacing w:val="-4"/>
          <w:sz w:val="32"/>
          <w:szCs w:val="32"/>
          <w:highlight w:val="none"/>
        </w:rPr>
        <w:t>，进行路面施工，包括路面铺设、压实、养护等；桥涵及安全设施工程也要同时进行着，以免耽误工期，这些均要在降温前完成。</w:t>
      </w:r>
    </w:p>
    <w:p w14:paraId="35AC124C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2ED3E3B8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168FD50C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1.绩效评价完整性</w:t>
      </w:r>
    </w:p>
    <w:p w14:paraId="0577F74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2E30A5A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在评价指标体系的构建上，充分考虑了项目的性质、目标以及预期成果，选取了具有代表性和可衡量性的关键指标，涵盖了经济效益、社会效益、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效益等多个维度，力求全方位反映项目的绩效状况。同时，对于每个指标的评价标准和数据来源均进行了明确说明，确保评价结果的客观性和可追溯性。</w:t>
      </w:r>
    </w:p>
    <w:p w14:paraId="449AAB2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1AA0591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明确的评价结论和后续工作的建议，为项目的持续改进和决策提供有力支持。</w:t>
      </w:r>
    </w:p>
    <w:p w14:paraId="7F8E3B0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3B5854A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绩效评价的目的</w:t>
      </w:r>
    </w:p>
    <w:p w14:paraId="4D3EB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69E71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通过对项目预算执行情况及各项绩效目标达成程度的系统性分析，全面、客观地评估项目在预定周期内的实施效果，包括经济效益、社会效益、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效益等多维度指标，为项目后续的改进与优化提供科学依据。</w:t>
      </w:r>
    </w:p>
    <w:p w14:paraId="42128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0AE5A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237CA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099D3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6E33D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590FC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6A69C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52277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目标。</w:t>
      </w:r>
    </w:p>
    <w:p w14:paraId="6978C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gree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31E46CB7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绩效评价的对象</w:t>
      </w:r>
    </w:p>
    <w:p w14:paraId="44A5B1A1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本项目预算绩效评价报告的评价对象是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伊犁州特克斯县2023年农村公路建设项目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特克斯县交通运输局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负责实施，旨在完成伊犁州特克斯县202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年农村公路建设项目，全长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24.84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公里，按照四级公路标准建设，建设内容包括路基路面桥涵及交通安全设施工程。项目预算涵盖从[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2024年5月10日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]至[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2024年10月30日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]的全部资金投入与支出，涉及资金总额为[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490.56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]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元。</w:t>
      </w:r>
    </w:p>
    <w:p w14:paraId="02281401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绩效评价的范围</w:t>
      </w:r>
    </w:p>
    <w:p w14:paraId="6FF252B3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1D26791A">
      <w:pPr>
        <w:pStyle w:val="2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7957FBBA">
      <w:pPr>
        <w:pStyle w:val="2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01479FFF">
      <w:pPr>
        <w:pStyle w:val="2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013E19B4">
      <w:pPr>
        <w:pStyle w:val="2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影响：考察项目对社会、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、经济等方面的综合影响。</w:t>
      </w:r>
    </w:p>
    <w:p w14:paraId="58A45589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6F0B8E74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绩效评价原则</w:t>
      </w:r>
    </w:p>
    <w:p w14:paraId="6E7CF59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本次项目绩效评价遵循以下基本原则：</w:t>
      </w:r>
    </w:p>
    <w:p w14:paraId="5ACFDCAF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016A1C0F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2FFCC622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09C37A10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（4）公开透明。绩效评价结果应依法依规公开，并自觉接受社会监督。</w:t>
      </w:r>
    </w:p>
    <w:p w14:paraId="4345B04C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评价指标体系</w:t>
      </w:r>
    </w:p>
    <w:p w14:paraId="02234D0A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0D9FBCC6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（1）确定评价指标</w:t>
      </w:r>
    </w:p>
    <w:p w14:paraId="37A7ABA1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683EBA0A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（2）确定权重</w:t>
      </w:r>
    </w:p>
    <w:p w14:paraId="64953918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确定各个指标相对于项目总体绩效的权重分值。在绩效评价指标体系中，项目决策权重为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分，项目过程权重为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分，项目产出权重为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分，项目效益权重为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分。</w:t>
      </w:r>
    </w:p>
    <w:p w14:paraId="1D0A62F6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（3）确定指标标准值</w:t>
      </w:r>
    </w:p>
    <w:p w14:paraId="7C7B76A2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18A50237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79C8A60E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具体评价指标体系详情见附件1</w:t>
      </w:r>
    </w:p>
    <w:p w14:paraId="009CB1AC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绩效评价方法</w:t>
      </w:r>
    </w:p>
    <w:p w14:paraId="1E33E0FF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300F53AF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0EE57287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本次采取因素分析法。原因是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</w:p>
    <w:p w14:paraId="6DDD4D91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评价标准</w:t>
      </w:r>
    </w:p>
    <w:p w14:paraId="61781A28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标准。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原因是：计划标准可以随工作实际进行调整，决策更有科学性。</w:t>
      </w:r>
    </w:p>
    <w:p w14:paraId="39E2F9E7">
      <w:pPr>
        <w:pStyle w:val="2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6EC094A1">
      <w:pPr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1</w:t>
      </w:r>
      <w:r>
        <w:rPr>
          <w:rFonts w:hint="eastAsia" w:eastAsia="仿宋_GB2312"/>
          <w:bCs/>
          <w:sz w:val="32"/>
          <w:szCs w:val="32"/>
        </w:rPr>
        <w:t>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09854410">
      <w:pPr>
        <w:spacing w:line="56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2</w:t>
      </w:r>
      <w:r>
        <w:rPr>
          <w:rFonts w:hint="eastAsia" w:eastAsia="仿宋_GB2312"/>
          <w:bCs/>
          <w:sz w:val="32"/>
          <w:szCs w:val="32"/>
        </w:rPr>
        <w:t>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27C6B13D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green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3</w:t>
      </w:r>
      <w:r>
        <w:rPr>
          <w:rFonts w:hint="eastAsia" w:eastAsia="仿宋_GB2312"/>
          <w:bCs/>
          <w:sz w:val="32"/>
          <w:szCs w:val="32"/>
        </w:rPr>
        <w:t>.分析评价。根据收集梳理的资料围绕项目立项、资金落实、业务管理、财务管理、项目产出、项目效益等内容，对照已确定的绩效评价指标进行详细全面的分析评价，逐项打分并形成绩效评价最终结果</w:t>
      </w:r>
      <w:r>
        <w:rPr>
          <w:rFonts w:hint="eastAsia" w:eastAsia="仿宋_GB2312"/>
          <w:bCs/>
          <w:sz w:val="32"/>
          <w:szCs w:val="32"/>
          <w:lang w:eastAsia="zh-CN"/>
        </w:rPr>
        <w:t>。</w:t>
      </w:r>
    </w:p>
    <w:p w14:paraId="7B8CA9E1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1EE70D8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评价情况</w:t>
      </w:r>
    </w:p>
    <w:p w14:paraId="1D2A1847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伊犁州特克斯县2023年农村公路建设项目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数量指标、质量指标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等方面表现出色，达到了预期的标准与要求。同时，项目也在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改善路域环境方面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取得了显著的成效，如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提升公路安全、完善路网建设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等。在项目</w:t>
      </w:r>
    </w:p>
    <w:p w14:paraId="16E02033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管理方面，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特克斯县交通运输局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0D183186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从项目效益的角度来看，本项目不仅实现了预期的社会效益、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效益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经济效益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等方面产生了积极的影响。具体而言，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效益、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社会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效益等方面的提升，为项目的利益相关者带来了实实在在的利益。</w:t>
      </w:r>
    </w:p>
    <w:p w14:paraId="4C330B12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伊犁州特克斯县2023年农村公路建设项目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在绩效评价中表现出色，达到了项目的预期目标，并在多个方面取得了显著的成效。</w:t>
      </w:r>
    </w:p>
    <w:p w14:paraId="07AFD3A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44845208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</w:rPr>
        <w:t>分，属于“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b w:val="0"/>
          <w:bCs w:val="0"/>
        </w:rPr>
        <w:t>”。其中，项目</w:t>
      </w:r>
      <w:r>
        <w:rPr>
          <w:rFonts w:hint="eastAsia" w:ascii="Times New Roman" w:hAnsi="Times New Roman" w:eastAsia="仿宋_GB2312" w:cs="Times New Roman"/>
          <w:b w:val="0"/>
          <w:bCs w:val="0"/>
          <w:lang w:eastAsia="zh-CN"/>
        </w:rPr>
        <w:t>决策</w:t>
      </w:r>
      <w:r>
        <w:rPr>
          <w:rFonts w:hint="default" w:ascii="Times New Roman" w:hAnsi="Times New Roman" w:eastAsia="仿宋_GB2312" w:cs="Times New Roman"/>
          <w:b w:val="0"/>
          <w:bCs w:val="0"/>
        </w:rPr>
        <w:t>权重为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</w:rPr>
        <w:t>分，得分为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</w:rPr>
        <w:t>%。项目</w:t>
      </w:r>
      <w:r>
        <w:rPr>
          <w:rFonts w:hint="eastAsia" w:ascii="Times New Roman" w:hAnsi="Times New Roman" w:eastAsia="仿宋_GB2312" w:cs="Times New Roman"/>
          <w:b w:val="0"/>
          <w:bCs w:val="0"/>
          <w:lang w:eastAsia="zh-CN"/>
        </w:rPr>
        <w:t>过程</w:t>
      </w:r>
      <w:r>
        <w:rPr>
          <w:rFonts w:hint="default" w:ascii="Times New Roman" w:hAnsi="Times New Roman" w:eastAsia="仿宋_GB2312" w:cs="Times New Roman"/>
          <w:b w:val="0"/>
          <w:bCs w:val="0"/>
        </w:rPr>
        <w:t>权重为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</w:rPr>
        <w:t>分，得分为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</w:rPr>
        <w:t>%。项目产出权重为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</w:rPr>
        <w:t>分，得分为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</w:rPr>
        <w:t>%。项目效益权重为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</w:rPr>
        <w:t>分，得分为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</w:rPr>
        <w:t>%。具体打分情况详见：附件1综合评分表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。</w:t>
      </w:r>
    </w:p>
    <w:p w14:paraId="171B3EA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7A177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B330A3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5EA4FA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102679A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65AF1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F4CC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</w:t>
            </w:r>
            <w:r>
              <w:rPr>
                <w:rFonts w:hint="eastAsia" w:eastAsia="仿宋_GB2312" w:cs="Times New Roman"/>
                <w:color w:val="000000"/>
                <w:sz w:val="21"/>
                <w:szCs w:val="21"/>
                <w:lang w:eastAsia="zh-CN"/>
              </w:rPr>
              <w:t>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37A18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582B7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70FC8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68C53"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</w:t>
            </w:r>
            <w:r>
              <w:rPr>
                <w:rFonts w:hint="eastAsia" w:eastAsia="仿宋_GB2312" w:cs="Times New Roman"/>
                <w:color w:val="000000"/>
                <w:sz w:val="21"/>
                <w:szCs w:val="21"/>
                <w:lang w:eastAsia="zh-CN"/>
              </w:rPr>
              <w:t>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0F078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341E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1EA03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CB43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1BBC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4F2B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</w:tr>
      <w:tr w14:paraId="20061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EF227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08F6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B1EE2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028C0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51064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F08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AA05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96</w:t>
            </w:r>
          </w:p>
        </w:tc>
      </w:tr>
    </w:tbl>
    <w:p w14:paraId="60D8346C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5B0E02C6">
      <w:pPr>
        <w:pStyle w:val="2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69F9D76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分值为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分，实际得分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%。</w:t>
      </w:r>
    </w:p>
    <w:p w14:paraId="7D3D36FB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345D6C1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6DD7210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4FA4D21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0E319D6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38C30E6C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0830B39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376219F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3E18C2B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0766E1D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7E2F6CFD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7F9D642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4677C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5CB63E0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3D54451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77CCEB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126DB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34957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689A7F3A">
      <w:pPr>
        <w:pStyle w:val="2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项目过程情况</w:t>
      </w:r>
    </w:p>
    <w:p w14:paraId="333F4F8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项目过程类指标包括资金管理和组织实施两方面的内容，由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个三级指标构成，权重分值为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分，实际得分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%。</w:t>
      </w:r>
    </w:p>
    <w:p w14:paraId="57703BFC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1.资金管理</w:t>
      </w:r>
    </w:p>
    <w:p w14:paraId="5DE08E4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（1）资金到位率</w:t>
      </w:r>
    </w:p>
    <w:p w14:paraId="1183951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490.56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预算资金按计划进度执行。</w:t>
      </w:r>
    </w:p>
    <w:p w14:paraId="72B52C5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（2）预算执行率</w:t>
      </w:r>
    </w:p>
    <w:p w14:paraId="2A35F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490.56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239746A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（3）资金使用合规性</w:t>
      </w:r>
    </w:p>
    <w:p w14:paraId="40745E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2A758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1BCFA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073FB6E2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2.组织实施</w:t>
      </w:r>
    </w:p>
    <w:p w14:paraId="523F0B9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（1）管理制度健全性</w:t>
      </w:r>
    </w:p>
    <w:p w14:paraId="7822F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5974F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5951B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4521917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72FBA4E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（2）制度执行有效性</w:t>
      </w:r>
    </w:p>
    <w:p w14:paraId="2F38F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6A839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5E408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1F4F210B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5BC0149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项目产出类指标包括产出数量、产出质量、产出时效、产出成本四方面的内容，由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分，实际得分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分，得分率为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%。具体产出指标完成情况如下：</w:t>
      </w:r>
    </w:p>
    <w:p w14:paraId="65E4E11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数量指标：</w:t>
      </w:r>
    </w:p>
    <w:p w14:paraId="091E2CDE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公路建设里程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24.84公里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24.84公里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29F8841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路面宽度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≥6.5米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6.5米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50937E5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41B98773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公路等级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四级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四级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3F3BE0C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2：项目资金使用合规率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，指标值：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100%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，实际完成值：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100%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 %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018B5DF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064A495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项目按时完工率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≥95%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95%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6D0B073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003164F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公路建设成本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≤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19.75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万元/公里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19.75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万元/公里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76D6B9A6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70AA798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项目效益类指标包括项目实施效益和满意度两方面的内容，由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分，实际得分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分，得分率为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%。具体效益指标及满意度指标完成情况如下：</w:t>
      </w:r>
    </w:p>
    <w:p w14:paraId="7B87CE8D">
      <w:pPr>
        <w:numPr>
          <w:ilvl w:val="0"/>
          <w:numId w:val="0"/>
        </w:numPr>
        <w:shd w:val="clear" w:color="auto" w:fill="auto"/>
        <w:spacing w:line="600" w:lineRule="exact"/>
        <w:ind w:left="630" w:leftChars="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实施效益</w:t>
      </w:r>
    </w:p>
    <w:p w14:paraId="3A94EE6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49DB6B74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完善地区路网建设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提升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提升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27D58079">
      <w:pPr>
        <w:shd w:val="clear" w:color="auto" w:fill="auto"/>
        <w:spacing w:line="600" w:lineRule="exact"/>
        <w:ind w:firstLine="640" w:firstLineChars="200"/>
        <w:outlineLvl w:val="0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公路安全水平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提升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提升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74184D8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③生态效益指标：</w:t>
      </w:r>
    </w:p>
    <w:p w14:paraId="3C64F70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项目建设符合环评审批要求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3AA0ED7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34B8E82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改善通行服务水平群众满意度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≥90%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96%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群众实际满意度高于预期值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72BD7628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3691FA8F">
      <w:pPr>
        <w:pStyle w:val="20"/>
        <w:spacing w:line="560" w:lineRule="exact"/>
        <w:ind w:firstLine="64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伊犁州特克斯县2024年农村公路建设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项目年初预算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490.56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万元，全年预算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490.56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万元，实际支出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490.56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万元，预算执行率为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%，项目绩效指标总体完成率为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%，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/>
        </w:rPr>
        <w:t>总体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偏差率为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%。</w:t>
      </w:r>
    </w:p>
    <w:p w14:paraId="13F60FBA">
      <w:pPr>
        <w:spacing w:line="560" w:lineRule="exact"/>
        <w:ind w:firstLine="640" w:firstLineChars="200"/>
        <w:rPr>
          <w:rStyle w:val="19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1663C03B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49C5ACE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741A0772">
      <w:pPr>
        <w:pStyle w:val="2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09AC0D09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61A6CB0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07C3EB2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</w:p>
    <w:p w14:paraId="1EC2698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11800FB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6E96ABF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428C5FD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02B7F2A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04F3C79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5D64D1AF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629CC320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  <w:bookmarkStart w:id="1" w:name="_GoBack"/>
      <w:bookmarkEnd w:id="1"/>
    </w:p>
    <w:sectPr>
      <w:footerReference r:id="rId3" w:type="default"/>
      <w:pgSz w:w="11906" w:h="16838"/>
      <w:pgMar w:top="1531" w:right="1984" w:bottom="1531" w:left="209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C91DEDD-934C-40B1-8841-9CAF802149E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EF3D0210-E80E-484D-8ED9-14D3BD58872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FCC69882-A19C-4F8C-95D0-57BBDB21BB2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490417FE-ADB6-4A97-8204-75D1C4DC1081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9AD30898-97EA-45CE-9BD6-7AA9ED41529A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6" w:fontKey="{18A8F5A3-EFD1-4D69-A4C9-CB6AA2EB640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91B2635D-2CD1-4A12-967D-0A70B201E3E6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8" w:fontKey="{D1CEC0B9-9E86-4FC8-AF72-A674E396E4F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9" w:fontKey="{47DC03AE-7FFC-4B56-B3FE-5BFA461E5A1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3BE4C468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1ACBE20B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47700317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6">
    <w:name w:val="Balloon Text"/>
    <w:basedOn w:val="1"/>
    <w:link w:val="21"/>
    <w:qFormat/>
    <w:uiPriority w:val="0"/>
    <w:rPr>
      <w:sz w:val="18"/>
      <w:szCs w:val="18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8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10">
    <w:name w:val="Body Text First Indent"/>
    <w:basedOn w:val="4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5"/>
    <w:qFormat/>
    <w:uiPriority w:val="0"/>
    <w:pPr>
      <w:ind w:firstLine="42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3BF2E591100743D892E0D869AB0F7520</vt:lpwstr>
  </property>
  <property fmtid="{D5CDD505-2E9C-101B-9397-08002B2CF9AE}" pid="4" name="KSOTemplateDocerSaveRecord">
    <vt:lpwstr>eyJoZGlkIjoiNjgyMjE5YTUzMTAzNjliMjEwMjYwZWFkMjQ3N2ZjNTkiLCJ1c2VySWQiOiIxMTI1OTkzNjg3In0=</vt:lpwstr>
  </property>
</Properties>
</file>

<file path=customXml/itemProps1.xml><?xml version="1.0" encoding="utf-8"?>
<ds:datastoreItem xmlns:ds="http://schemas.openxmlformats.org/officeDocument/2006/customXml" ds:itemID="{f4fdc20b-53e6-4ba3-af06-58d4b92ac0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9407</Words>
  <Characters>9754</Characters>
  <Lines>58</Lines>
  <Paragraphs>16</Paragraphs>
  <TotalTime>9</TotalTime>
  <ScaleCrop>false</ScaleCrop>
  <LinksUpToDate>false</LinksUpToDate>
  <CharactersWithSpaces>9761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忆</cp:lastModifiedBy>
  <dcterms:modified xsi:type="dcterms:W3CDTF">2025-11-13T05:24:40Z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3BF2E591100743D892E0D869AB0F7520</vt:lpwstr>
  </property>
  <property fmtid="{D5CDD505-2E9C-101B-9397-08002B2CF9AE}" pid="4" name="KSOTemplateDocerSaveRecord">
    <vt:lpwstr>eyJoZGlkIjoiMzEwNjkzMWMxZWMzNzU0NmUyNzQ2NGY3YzlmZjBhZDUiLCJ1c2VySWQiOiI0OTMxMTE3MjUifQ==</vt:lpwstr>
  </property>
</Properties>
</file>